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2CA5" w:rsidRPr="0009558C" w:rsidRDefault="0009558C" w:rsidP="0009558C">
      <w:pPr>
        <w:pStyle w:val="NoSpacing"/>
        <w:rPr>
          <w:b/>
          <w:u w:val="single"/>
        </w:rPr>
      </w:pPr>
      <w:r>
        <w:rPr>
          <w:b/>
          <w:u w:val="single"/>
        </w:rPr>
        <w:t xml:space="preserve">Mike </w:t>
      </w:r>
      <w:proofErr w:type="spellStart"/>
      <w:r>
        <w:rPr>
          <w:b/>
          <w:u w:val="single"/>
        </w:rPr>
        <w:t>Arduser’s</w:t>
      </w:r>
      <w:proofErr w:type="spellEnd"/>
      <w:r>
        <w:rPr>
          <w:b/>
          <w:u w:val="single"/>
        </w:rPr>
        <w:t xml:space="preserve"> bee keys:  </w:t>
      </w:r>
      <w:r w:rsidR="00216116">
        <w:rPr>
          <w:b/>
          <w:u w:val="single"/>
        </w:rPr>
        <w:t xml:space="preserve">Version </w:t>
      </w:r>
      <w:r w:rsidR="00A0579D">
        <w:rPr>
          <w:b/>
          <w:u w:val="single"/>
        </w:rPr>
        <w:t>5</w:t>
      </w:r>
      <w:r w:rsidR="00B21E82">
        <w:rPr>
          <w:b/>
          <w:u w:val="single"/>
        </w:rPr>
        <w:t>.0</w:t>
      </w:r>
      <w:r w:rsidR="00216116">
        <w:rPr>
          <w:b/>
          <w:u w:val="single"/>
        </w:rPr>
        <w:t xml:space="preserve">        </w:t>
      </w:r>
      <w:r w:rsidRPr="00216116">
        <w:rPr>
          <w:b/>
          <w:sz w:val="28"/>
          <w:szCs w:val="28"/>
          <w:u w:val="single"/>
        </w:rPr>
        <w:t>READ THIS FIRST</w:t>
      </w:r>
    </w:p>
    <w:p w:rsidR="0009558C" w:rsidRDefault="0009558C" w:rsidP="0009558C">
      <w:pPr>
        <w:pStyle w:val="NoSpacing"/>
      </w:pPr>
    </w:p>
    <w:p w:rsidR="0009558C" w:rsidRDefault="0009558C" w:rsidP="0009558C">
      <w:pPr>
        <w:pStyle w:val="NoSpacing"/>
      </w:pPr>
      <w:r>
        <w:t>These keys have grown out of my interest in the bee fauna of the tallgrass prairie region and greater Midwest US (see below for geographic specifics) over the past several decades. The keys are updated (“improved”) regularly due to user suggestions/corrections</w:t>
      </w:r>
      <w:r w:rsidR="00902B02">
        <w:t>,</w:t>
      </w:r>
      <w:r>
        <w:t xml:space="preserve"> and my own edits. </w:t>
      </w:r>
      <w:r w:rsidR="00902B02">
        <w:t xml:space="preserve">Each key reflects this by having a “Revised” or “Edited” date (e.g., edited </w:t>
      </w:r>
      <w:r w:rsidR="00553FF7">
        <w:t>December 25,</w:t>
      </w:r>
      <w:r w:rsidR="000C3A6F">
        <w:t xml:space="preserve"> 2019</w:t>
      </w:r>
      <w:r w:rsidR="00902B02">
        <w:t xml:space="preserve">) at the top of the key: </w:t>
      </w:r>
      <w:r w:rsidR="00902B02" w:rsidRPr="00902B02">
        <w:rPr>
          <w:u w:val="single"/>
        </w:rPr>
        <w:t>users should always use the most recent</w:t>
      </w:r>
      <w:r w:rsidR="00902B02">
        <w:rPr>
          <w:u w:val="single"/>
        </w:rPr>
        <w:t xml:space="preserve">ly- </w:t>
      </w:r>
      <w:proofErr w:type="gramStart"/>
      <w:r w:rsidR="00902B02">
        <w:rPr>
          <w:u w:val="single"/>
        </w:rPr>
        <w:t xml:space="preserve">dated </w:t>
      </w:r>
      <w:r w:rsidR="00902B02" w:rsidRPr="00902B02">
        <w:rPr>
          <w:u w:val="single"/>
        </w:rPr>
        <w:t xml:space="preserve"> version</w:t>
      </w:r>
      <w:proofErr w:type="gramEnd"/>
      <w:r w:rsidR="00902B02" w:rsidRPr="00902B02">
        <w:rPr>
          <w:u w:val="single"/>
        </w:rPr>
        <w:t xml:space="preserve">. </w:t>
      </w:r>
      <w:r w:rsidR="004540D4">
        <w:rPr>
          <w:u w:val="single"/>
        </w:rPr>
        <w:t xml:space="preserve">All of the keys in this </w:t>
      </w:r>
      <w:proofErr w:type="spellStart"/>
      <w:r w:rsidR="004540D4">
        <w:rPr>
          <w:u w:val="single"/>
        </w:rPr>
        <w:t>zipfile</w:t>
      </w:r>
      <w:proofErr w:type="spellEnd"/>
      <w:r w:rsidR="005D32B3">
        <w:rPr>
          <w:u w:val="single"/>
        </w:rPr>
        <w:t xml:space="preserve"> or manual</w:t>
      </w:r>
      <w:r w:rsidR="004540D4">
        <w:rPr>
          <w:u w:val="single"/>
        </w:rPr>
        <w:t xml:space="preserve"> are the most recently-edited versions</w:t>
      </w:r>
      <w:r w:rsidR="00C36ADD">
        <w:rPr>
          <w:u w:val="single"/>
        </w:rPr>
        <w:t xml:space="preserve"> </w:t>
      </w:r>
      <w:r w:rsidR="00C36ADD" w:rsidRPr="00943FE5">
        <w:rPr>
          <w:b/>
          <w:u w:val="single"/>
        </w:rPr>
        <w:t xml:space="preserve">as </w:t>
      </w:r>
      <w:proofErr w:type="gramStart"/>
      <w:r w:rsidR="00C36ADD" w:rsidRPr="00943FE5">
        <w:rPr>
          <w:b/>
          <w:u w:val="single"/>
        </w:rPr>
        <w:t xml:space="preserve">of </w:t>
      </w:r>
      <w:r w:rsidR="004540D4" w:rsidRPr="00943FE5">
        <w:rPr>
          <w:b/>
          <w:u w:val="single"/>
        </w:rPr>
        <w:t xml:space="preserve"> </w:t>
      </w:r>
      <w:r w:rsidR="00A0579D">
        <w:rPr>
          <w:b/>
          <w:u w:val="single"/>
        </w:rPr>
        <w:t>February</w:t>
      </w:r>
      <w:proofErr w:type="gramEnd"/>
      <w:r w:rsidR="00A0579D">
        <w:rPr>
          <w:b/>
          <w:u w:val="single"/>
        </w:rPr>
        <w:t xml:space="preserve"> 29, 2024.</w:t>
      </w:r>
      <w:bookmarkStart w:id="0" w:name="_GoBack"/>
      <w:bookmarkEnd w:id="0"/>
    </w:p>
    <w:p w:rsidR="00C36ADD" w:rsidRDefault="00C36ADD" w:rsidP="0009558C">
      <w:pPr>
        <w:pStyle w:val="NoSpacing"/>
      </w:pPr>
    </w:p>
    <w:p w:rsidR="0009558C" w:rsidRDefault="00902B02" w:rsidP="0009558C">
      <w:pPr>
        <w:pStyle w:val="NoSpacing"/>
      </w:pPr>
      <w:r w:rsidRPr="0031481E">
        <w:rPr>
          <w:b/>
        </w:rPr>
        <w:t>Not all keys include females and males</w:t>
      </w:r>
      <w:r>
        <w:t>: gender is indicated at the beginning of the key.</w:t>
      </w:r>
    </w:p>
    <w:p w:rsidR="0009558C" w:rsidRDefault="0009558C" w:rsidP="0009558C">
      <w:pPr>
        <w:pStyle w:val="NoSpacing"/>
      </w:pPr>
    </w:p>
    <w:p w:rsidR="00294D9E" w:rsidRDefault="00902B02" w:rsidP="0009558C">
      <w:pPr>
        <w:pStyle w:val="NoSpacing"/>
      </w:pPr>
      <w:r w:rsidRPr="00294D9E">
        <w:rPr>
          <w:b/>
        </w:rPr>
        <w:t>Geographic scope:</w:t>
      </w:r>
    </w:p>
    <w:p w:rsidR="0008198C" w:rsidRDefault="00902B02" w:rsidP="0009558C">
      <w:pPr>
        <w:pStyle w:val="NoSpacing"/>
      </w:pPr>
      <w:r>
        <w:t xml:space="preserve">this is indicated at the beginning of the key, i.e., </w:t>
      </w:r>
      <w:r w:rsidR="0008198C">
        <w:t>“</w:t>
      </w:r>
      <w:r>
        <w:t>TGP (=tallgrass prairie region) and greater Midwest</w:t>
      </w:r>
      <w:r w:rsidR="0008198C">
        <w:t>”</w:t>
      </w:r>
      <w:r>
        <w:t xml:space="preserve">. </w:t>
      </w:r>
      <w:r w:rsidR="0008198C">
        <w:t xml:space="preserve"> The tallgrass prairie region is th</w:t>
      </w:r>
      <w:r w:rsidR="001D4B2E">
        <w:t xml:space="preserve">e one </w:t>
      </w:r>
      <w:r w:rsidR="0008198C">
        <w:t>defined by The Nature Conservancy’s ecoregion map, and includes, from north to south, the following ecoregions:</w:t>
      </w:r>
    </w:p>
    <w:p w:rsidR="0008198C" w:rsidRPr="0008198C" w:rsidRDefault="0008198C" w:rsidP="00E17BB2">
      <w:pPr>
        <w:pStyle w:val="NoSpacing"/>
        <w:ind w:firstLine="720"/>
        <w:rPr>
          <w:b/>
        </w:rPr>
      </w:pPr>
      <w:r w:rsidRPr="0008198C">
        <w:rPr>
          <w:b/>
        </w:rPr>
        <w:t>TGP:</w:t>
      </w:r>
    </w:p>
    <w:p w:rsidR="0008198C" w:rsidRDefault="0008198C" w:rsidP="0008198C">
      <w:pPr>
        <w:pStyle w:val="NoSpacing"/>
        <w:ind w:firstLine="720"/>
      </w:pPr>
      <w:r>
        <w:t>Northern tallgrass prairie region</w:t>
      </w:r>
    </w:p>
    <w:p w:rsidR="0008198C" w:rsidRDefault="0008198C" w:rsidP="0008198C">
      <w:pPr>
        <w:pStyle w:val="NoSpacing"/>
        <w:ind w:firstLine="720"/>
      </w:pPr>
      <w:r>
        <w:t>Central tallgrass prairie region</w:t>
      </w:r>
    </w:p>
    <w:p w:rsidR="0008198C" w:rsidRDefault="0008198C" w:rsidP="0008198C">
      <w:pPr>
        <w:pStyle w:val="NoSpacing"/>
        <w:ind w:firstLine="720"/>
      </w:pPr>
      <w:r>
        <w:t>Osage Plains</w:t>
      </w:r>
    </w:p>
    <w:p w:rsidR="0008198C" w:rsidRPr="00553FF7" w:rsidRDefault="0008198C" w:rsidP="007F1E63">
      <w:pPr>
        <w:pStyle w:val="NoSpacing"/>
        <w:ind w:left="720"/>
      </w:pPr>
      <w:r>
        <w:t>Southern tallgrass and cross timbers</w:t>
      </w:r>
      <w:r w:rsidR="0032105C">
        <w:t xml:space="preserve">, </w:t>
      </w:r>
      <w:r w:rsidR="0032105C" w:rsidRPr="0032105C">
        <w:rPr>
          <w:i/>
        </w:rPr>
        <w:t>in part</w:t>
      </w:r>
      <w:r w:rsidR="007F1E63">
        <w:t xml:space="preserve"> (there are six</w:t>
      </w:r>
      <w:r w:rsidR="00553FF7">
        <w:t xml:space="preserve"> genera and </w:t>
      </w:r>
      <w:r w:rsidR="007F1E63">
        <w:t xml:space="preserve">several dozen species </w:t>
      </w:r>
      <w:r w:rsidR="00257275">
        <w:t xml:space="preserve">in, or </w:t>
      </w:r>
      <w:r w:rsidR="00553FF7">
        <w:t>potentially in</w:t>
      </w:r>
      <w:r w:rsidR="00257275">
        <w:t>,</w:t>
      </w:r>
      <w:r w:rsidR="00553FF7">
        <w:t xml:space="preserve"> the Texas and south-central Oklahoma parts of the Southern tallgrass and </w:t>
      </w:r>
      <w:r w:rsidR="00C1452F">
        <w:t>c</w:t>
      </w:r>
      <w:r w:rsidR="00553FF7">
        <w:t xml:space="preserve">ross timbers that </w:t>
      </w:r>
      <w:r w:rsidR="00553FF7" w:rsidRPr="000C649C">
        <w:rPr>
          <w:u w:val="single"/>
        </w:rPr>
        <w:t>are not</w:t>
      </w:r>
      <w:r w:rsidR="00553FF7">
        <w:t xml:space="preserve"> included in the keys</w:t>
      </w:r>
      <w:r w:rsidR="001D4B2E">
        <w:t xml:space="preserve"> at this point</w:t>
      </w:r>
      <w:r w:rsidR="00257275">
        <w:t>, and I am grateful to Jack Neff for pointing this out</w:t>
      </w:r>
      <w:r w:rsidR="00553FF7">
        <w:t>)</w:t>
      </w:r>
      <w:r w:rsidR="007F1E63">
        <w:t>.</w:t>
      </w:r>
    </w:p>
    <w:p w:rsidR="0008198C" w:rsidRPr="00553FF7" w:rsidRDefault="0008198C" w:rsidP="0008198C">
      <w:pPr>
        <w:pStyle w:val="NoSpacing"/>
        <w:ind w:firstLine="720"/>
      </w:pPr>
      <w:r>
        <w:t>Coastal prairies</w:t>
      </w:r>
      <w:r w:rsidR="000A3BAF">
        <w:t xml:space="preserve">, </w:t>
      </w:r>
      <w:r w:rsidR="000A3BAF" w:rsidRPr="000A3BAF">
        <w:rPr>
          <w:i/>
        </w:rPr>
        <w:t>in part</w:t>
      </w:r>
      <w:r w:rsidR="00553FF7">
        <w:t xml:space="preserve"> (see above)</w:t>
      </w:r>
    </w:p>
    <w:p w:rsidR="00A94494" w:rsidRDefault="00A94494" w:rsidP="00E17BB2">
      <w:pPr>
        <w:pStyle w:val="NoSpacing"/>
        <w:ind w:firstLine="720"/>
        <w:rPr>
          <w:b/>
        </w:rPr>
      </w:pPr>
    </w:p>
    <w:p w:rsidR="00E17BB2" w:rsidRDefault="00A94494" w:rsidP="00E17BB2">
      <w:pPr>
        <w:pStyle w:val="NoSpacing"/>
        <w:ind w:firstLine="720"/>
        <w:rPr>
          <w:b/>
        </w:rPr>
      </w:pPr>
      <w:r>
        <w:rPr>
          <w:b/>
        </w:rPr>
        <w:t>TGP outliers:</w:t>
      </w:r>
    </w:p>
    <w:p w:rsidR="00A94494" w:rsidRDefault="00A94494" w:rsidP="00E17BB2">
      <w:pPr>
        <w:pStyle w:val="NoSpacing"/>
        <w:ind w:firstLine="720"/>
      </w:pPr>
      <w:r w:rsidRPr="00A94494">
        <w:t>Several eastern states</w:t>
      </w:r>
      <w:r>
        <w:t xml:space="preserve"> (Arkansas, Mississippi, </w:t>
      </w:r>
      <w:r w:rsidR="00E457FF">
        <w:t xml:space="preserve">Ohio, </w:t>
      </w:r>
      <w:r>
        <w:t>etc.) have small prairie remnants within</w:t>
      </w:r>
      <w:r w:rsidR="00134088">
        <w:t xml:space="preserve"> </w:t>
      </w:r>
      <w:proofErr w:type="gramStart"/>
      <w:r>
        <w:t>th</w:t>
      </w:r>
      <w:r w:rsidR="00E457FF">
        <w:t>eir</w:t>
      </w:r>
      <w:proofErr w:type="gramEnd"/>
      <w:r>
        <w:t xml:space="preserve"> </w:t>
      </w:r>
    </w:p>
    <w:p w:rsidR="00A94494" w:rsidRDefault="00A94494" w:rsidP="00E17BB2">
      <w:pPr>
        <w:pStyle w:val="NoSpacing"/>
        <w:ind w:firstLine="720"/>
      </w:pPr>
      <w:r>
        <w:t>borders and the keys should work for the bees inhabiting these sites.</w:t>
      </w:r>
    </w:p>
    <w:p w:rsidR="00A94494" w:rsidRPr="00A94494" w:rsidRDefault="00A94494" w:rsidP="00E17BB2">
      <w:pPr>
        <w:pStyle w:val="NoSpacing"/>
        <w:ind w:firstLine="720"/>
      </w:pPr>
    </w:p>
    <w:p w:rsidR="0008198C" w:rsidRDefault="0008198C" w:rsidP="00E17BB2">
      <w:pPr>
        <w:pStyle w:val="NoSpacing"/>
        <w:ind w:firstLine="720"/>
        <w:rPr>
          <w:b/>
        </w:rPr>
      </w:pPr>
      <w:r w:rsidRPr="0008198C">
        <w:rPr>
          <w:b/>
        </w:rPr>
        <w:t xml:space="preserve">Greater </w:t>
      </w:r>
      <w:r>
        <w:rPr>
          <w:b/>
        </w:rPr>
        <w:t>Midwest:</w:t>
      </w:r>
    </w:p>
    <w:p w:rsidR="0008198C" w:rsidRDefault="0008198C" w:rsidP="0008198C">
      <w:pPr>
        <w:pStyle w:val="NoSpacing"/>
        <w:ind w:firstLine="720"/>
      </w:pPr>
      <w:r>
        <w:t xml:space="preserve">This is primarily </w:t>
      </w:r>
      <w:proofErr w:type="spellStart"/>
      <w:r>
        <w:t>Transeau’s</w:t>
      </w:r>
      <w:proofErr w:type="spellEnd"/>
      <w:r>
        <w:t xml:space="preserve"> “Prairie Peninsula”</w:t>
      </w:r>
      <w:r w:rsidR="00795BB2">
        <w:t xml:space="preserve"> plus </w:t>
      </w:r>
      <w:r w:rsidR="00294D9E">
        <w:t>the “corn belt”.</w:t>
      </w:r>
    </w:p>
    <w:p w:rsidR="00AE0A23" w:rsidRDefault="00AE0A23" w:rsidP="0008198C">
      <w:pPr>
        <w:pStyle w:val="NoSpacing"/>
        <w:rPr>
          <w:b/>
        </w:rPr>
      </w:pPr>
    </w:p>
    <w:p w:rsidR="007D142E" w:rsidRPr="004327C6" w:rsidRDefault="004327C6" w:rsidP="0009558C">
      <w:pPr>
        <w:pStyle w:val="NoSpacing"/>
      </w:pPr>
      <w:r w:rsidRPr="004327C6">
        <w:t xml:space="preserve">Because most of the species in the TGP region and in the greater </w:t>
      </w:r>
      <w:r>
        <w:t>Midwest occur beyond those geographies</w:t>
      </w:r>
      <w:r w:rsidR="00D0587E">
        <w:t xml:space="preserve"> to a greater or lesser degree</w:t>
      </w:r>
      <w:r>
        <w:t xml:space="preserve">, the keys are to some extent useful outside of the TGP and greater Midwest, but not in any predictable pattern.  </w:t>
      </w:r>
      <w:r w:rsidR="00D0587E">
        <w:t>Using</w:t>
      </w:r>
      <w:r>
        <w:t xml:space="preserve"> the keys outside of their given geographies</w:t>
      </w:r>
      <w:r w:rsidR="00D0587E">
        <w:t xml:space="preserve"> should be backed up</w:t>
      </w:r>
      <w:r w:rsidR="00E4109F">
        <w:t xml:space="preserve"> with</w:t>
      </w:r>
      <w:r w:rsidR="00D0587E">
        <w:t xml:space="preserve"> additional sources.</w:t>
      </w:r>
    </w:p>
    <w:p w:rsidR="004327C6" w:rsidRDefault="004327C6" w:rsidP="0009558C">
      <w:pPr>
        <w:pStyle w:val="NoSpacing"/>
        <w:rPr>
          <w:b/>
        </w:rPr>
      </w:pPr>
    </w:p>
    <w:p w:rsidR="0009558C" w:rsidRPr="004120AE" w:rsidRDefault="004120AE" w:rsidP="0009558C">
      <w:pPr>
        <w:pStyle w:val="NoSpacing"/>
        <w:rPr>
          <w:b/>
        </w:rPr>
      </w:pPr>
      <w:proofErr w:type="spellStart"/>
      <w:r w:rsidRPr="004120AE">
        <w:rPr>
          <w:b/>
        </w:rPr>
        <w:t>Extralimital</w:t>
      </w:r>
      <w:proofErr w:type="spellEnd"/>
      <w:r w:rsidRPr="004120AE">
        <w:rPr>
          <w:b/>
        </w:rPr>
        <w:t xml:space="preserve"> species:</w:t>
      </w:r>
    </w:p>
    <w:p w:rsidR="0009558C" w:rsidRDefault="004120AE" w:rsidP="0009558C">
      <w:pPr>
        <w:pStyle w:val="NoSpacing"/>
      </w:pPr>
      <w:r>
        <w:t>For many of the keys, species occurring just outside the geographic boundaries given above are included or mentioned in the keys, since they may be present in our region but not yet documented.</w:t>
      </w:r>
    </w:p>
    <w:p w:rsidR="0009558C" w:rsidRDefault="0009558C" w:rsidP="0009558C">
      <w:pPr>
        <w:pStyle w:val="NoSpacing"/>
      </w:pPr>
    </w:p>
    <w:p w:rsidR="0009558C" w:rsidRPr="004120AE" w:rsidRDefault="004120AE" w:rsidP="0009558C">
      <w:pPr>
        <w:pStyle w:val="NoSpacing"/>
        <w:rPr>
          <w:b/>
        </w:rPr>
      </w:pPr>
      <w:r w:rsidRPr="004120AE">
        <w:rPr>
          <w:b/>
        </w:rPr>
        <w:t>Introduced (exotic) species:</w:t>
      </w:r>
    </w:p>
    <w:p w:rsidR="0009558C" w:rsidRDefault="00294D9E" w:rsidP="0009558C">
      <w:pPr>
        <w:pStyle w:val="NoSpacing"/>
      </w:pPr>
      <w:r>
        <w:t>A</w:t>
      </w:r>
      <w:r w:rsidR="004120AE">
        <w:t xml:space="preserve">ll of the introduced species and genera </w:t>
      </w:r>
      <w:r w:rsidR="00601D11">
        <w:t>established in our region (</w:t>
      </w:r>
      <w:r w:rsidR="004120AE">
        <w:t>that I am aware of</w:t>
      </w:r>
      <w:r w:rsidR="001D4B2E">
        <w:t>,</w:t>
      </w:r>
      <w:r w:rsidR="000C3A6F">
        <w:t xml:space="preserve"> as of </w:t>
      </w:r>
      <w:r w:rsidR="00134088">
        <w:t>5</w:t>
      </w:r>
      <w:r w:rsidR="000C3A6F">
        <w:t>/</w:t>
      </w:r>
      <w:r w:rsidR="00E457FF">
        <w:t>1</w:t>
      </w:r>
      <w:r w:rsidR="00134088">
        <w:t>7</w:t>
      </w:r>
      <w:r w:rsidR="000C3A6F">
        <w:t>/20</w:t>
      </w:r>
      <w:r w:rsidR="007F1E63">
        <w:t>2</w:t>
      </w:r>
      <w:r w:rsidR="00E457FF">
        <w:t>3</w:t>
      </w:r>
      <w:r w:rsidR="00601D11">
        <w:t>)</w:t>
      </w:r>
      <w:r>
        <w:t xml:space="preserve"> are included in the keys</w:t>
      </w:r>
      <w:r w:rsidR="004120AE">
        <w:t xml:space="preserve">, but this is obviously a moving target. </w:t>
      </w:r>
    </w:p>
    <w:p w:rsidR="0009558C" w:rsidRDefault="0009558C" w:rsidP="0009558C">
      <w:pPr>
        <w:pStyle w:val="NoSpacing"/>
      </w:pPr>
    </w:p>
    <w:p w:rsidR="001D4B2E" w:rsidRDefault="001D4B2E" w:rsidP="0009558C">
      <w:pPr>
        <w:pStyle w:val="NoSpacing"/>
        <w:rPr>
          <w:b/>
        </w:rPr>
      </w:pPr>
    </w:p>
    <w:p w:rsidR="001D4B2E" w:rsidRDefault="001D4B2E" w:rsidP="0009558C">
      <w:pPr>
        <w:pStyle w:val="NoSpacing"/>
        <w:rPr>
          <w:b/>
        </w:rPr>
      </w:pPr>
    </w:p>
    <w:p w:rsidR="008E5225" w:rsidRDefault="008E5225" w:rsidP="0009558C">
      <w:pPr>
        <w:pStyle w:val="NoSpacing"/>
        <w:rPr>
          <w:b/>
        </w:rPr>
      </w:pPr>
      <w:r w:rsidRPr="008E5225">
        <w:rPr>
          <w:b/>
        </w:rPr>
        <w:lastRenderedPageBreak/>
        <w:t>Taxonomy/nomenclature:</w:t>
      </w:r>
    </w:p>
    <w:p w:rsidR="008E5225" w:rsidRDefault="008E5225" w:rsidP="0009558C">
      <w:pPr>
        <w:pStyle w:val="NoSpacing"/>
      </w:pPr>
      <w:r>
        <w:t>For the most part the generic/</w:t>
      </w:r>
      <w:proofErr w:type="spellStart"/>
      <w:r>
        <w:t>subgeneric</w:t>
      </w:r>
      <w:proofErr w:type="spellEnd"/>
      <w:r>
        <w:t xml:space="preserve"> names</w:t>
      </w:r>
      <w:r w:rsidR="0090220D">
        <w:t xml:space="preserve"> and </w:t>
      </w:r>
      <w:proofErr w:type="gramStart"/>
      <w:r w:rsidR="00E05042">
        <w:t xml:space="preserve">interpretations </w:t>
      </w:r>
      <w:r w:rsidR="0090220D">
        <w:t xml:space="preserve"> herein</w:t>
      </w:r>
      <w:proofErr w:type="gramEnd"/>
      <w:r>
        <w:t xml:space="preserve"> follow Michener (2007) but there are some exceptions, and these </w:t>
      </w:r>
      <w:r w:rsidR="004B7B0D">
        <w:t xml:space="preserve">exceptions </w:t>
      </w:r>
      <w:r>
        <w:t>are always mentioned in the keys. For example,</w:t>
      </w:r>
      <w:r w:rsidR="008158ED">
        <w:t xml:space="preserve"> species in </w:t>
      </w:r>
      <w:r>
        <w:t xml:space="preserve">the </w:t>
      </w:r>
      <w:proofErr w:type="spellStart"/>
      <w:r w:rsidRPr="0090220D">
        <w:rPr>
          <w:i/>
        </w:rPr>
        <w:t>Lasioglossum</w:t>
      </w:r>
      <w:proofErr w:type="spellEnd"/>
      <w:r>
        <w:t xml:space="preserve"> subgenera </w:t>
      </w:r>
      <w:proofErr w:type="spellStart"/>
      <w:r w:rsidRPr="0090220D">
        <w:rPr>
          <w:i/>
        </w:rPr>
        <w:t>Evylaeus</w:t>
      </w:r>
      <w:proofErr w:type="spellEnd"/>
      <w:r w:rsidRPr="0090220D">
        <w:rPr>
          <w:i/>
        </w:rPr>
        <w:t xml:space="preserve">, </w:t>
      </w:r>
      <w:proofErr w:type="spellStart"/>
      <w:r w:rsidRPr="0090220D">
        <w:rPr>
          <w:i/>
        </w:rPr>
        <w:t>Sphecodogastra</w:t>
      </w:r>
      <w:proofErr w:type="spellEnd"/>
      <w:r>
        <w:t xml:space="preserve"> and </w:t>
      </w:r>
      <w:proofErr w:type="spellStart"/>
      <w:r w:rsidRPr="0090220D">
        <w:rPr>
          <w:i/>
        </w:rPr>
        <w:t>Hemihalictus</w:t>
      </w:r>
      <w:proofErr w:type="spellEnd"/>
      <w:r w:rsidR="0090220D">
        <w:t>, re-</w:t>
      </w:r>
      <w:r>
        <w:t>defined recently by Gibbs et. al.</w:t>
      </w:r>
      <w:r w:rsidR="008158ED">
        <w:t xml:space="preserve"> (2013)</w:t>
      </w:r>
      <w:r>
        <w:t>, are incorporated</w:t>
      </w:r>
      <w:r w:rsidR="00E05042">
        <w:t xml:space="preserve"> here</w:t>
      </w:r>
      <w:r>
        <w:t xml:space="preserve"> into a single key, the “non-metallic </w:t>
      </w:r>
      <w:proofErr w:type="spellStart"/>
      <w:r w:rsidRPr="0090220D">
        <w:rPr>
          <w:i/>
        </w:rPr>
        <w:t>Lasioglossum</w:t>
      </w:r>
      <w:proofErr w:type="spellEnd"/>
      <w:r>
        <w:t xml:space="preserve">, minus </w:t>
      </w:r>
      <w:proofErr w:type="spellStart"/>
      <w:r w:rsidRPr="0090220D">
        <w:rPr>
          <w:i/>
        </w:rPr>
        <w:t>Lasioglossum</w:t>
      </w:r>
      <w:proofErr w:type="spellEnd"/>
      <w:r w:rsidRPr="0090220D">
        <w:rPr>
          <w:i/>
        </w:rPr>
        <w:t xml:space="preserve"> </w:t>
      </w:r>
      <w:proofErr w:type="spellStart"/>
      <w:r w:rsidRPr="0090220D">
        <w:rPr>
          <w:i/>
        </w:rPr>
        <w:t>s.s</w:t>
      </w:r>
      <w:r>
        <w:t>.</w:t>
      </w:r>
      <w:proofErr w:type="spellEnd"/>
      <w:r>
        <w:t xml:space="preserve"> of McGinley”</w:t>
      </w:r>
      <w:r w:rsidR="008158ED">
        <w:t xml:space="preserve">, because of the difficulties involved in separating those re-defined </w:t>
      </w:r>
      <w:r w:rsidR="00E457FF">
        <w:t>sub</w:t>
      </w:r>
      <w:r w:rsidR="008158ED">
        <w:t>g</w:t>
      </w:r>
      <w:r w:rsidR="00216116">
        <w:t>enera</w:t>
      </w:r>
      <w:r w:rsidR="0090220D">
        <w:t xml:space="preserve">. </w:t>
      </w:r>
      <w:r w:rsidR="00134088">
        <w:t>Keys which deviate from the current taxonomy have the most recent revision listed at the top of the key.</w:t>
      </w:r>
    </w:p>
    <w:p w:rsidR="008158ED" w:rsidRDefault="008158ED" w:rsidP="0009558C">
      <w:pPr>
        <w:pStyle w:val="NoSpacing"/>
      </w:pPr>
      <w:r>
        <w:t xml:space="preserve">Species-level taxonomy </w:t>
      </w:r>
      <w:r w:rsidR="00821949">
        <w:t>usually</w:t>
      </w:r>
      <w:r>
        <w:t xml:space="preserve"> follows the most current revisions</w:t>
      </w:r>
      <w:r w:rsidR="00E457FF">
        <w:t>,</w:t>
      </w:r>
      <w:r w:rsidR="00A94494">
        <w:t xml:space="preserve"> or The </w:t>
      </w:r>
      <w:proofErr w:type="spellStart"/>
      <w:r w:rsidR="00A94494">
        <w:t>Ascher</w:t>
      </w:r>
      <w:proofErr w:type="spellEnd"/>
      <w:r w:rsidR="00A94494">
        <w:t>/Pickering list</w:t>
      </w:r>
      <w:r>
        <w:t>, although in a few cases (</w:t>
      </w:r>
      <w:r w:rsidR="00E457FF">
        <w:t xml:space="preserve">e.g. </w:t>
      </w:r>
      <w:proofErr w:type="spellStart"/>
      <w:r w:rsidRPr="008158ED">
        <w:rPr>
          <w:i/>
        </w:rPr>
        <w:t>Anthidiellum</w:t>
      </w:r>
      <w:proofErr w:type="spellEnd"/>
      <w:r w:rsidR="00134088">
        <w:rPr>
          <w:i/>
        </w:rPr>
        <w:t xml:space="preserve">, </w:t>
      </w:r>
      <w:proofErr w:type="spellStart"/>
      <w:r w:rsidR="00134088">
        <w:rPr>
          <w:i/>
        </w:rPr>
        <w:t>Dieunomia</w:t>
      </w:r>
      <w:proofErr w:type="spellEnd"/>
      <w:r>
        <w:t xml:space="preserve">) I have recognized sub-species as full species based on my experience with populations in the TGP and </w:t>
      </w:r>
      <w:proofErr w:type="gramStart"/>
      <w:r>
        <w:t>Midwest  region</w:t>
      </w:r>
      <w:proofErr w:type="gramEnd"/>
      <w:r>
        <w:t>. Author names are not always included with the species names</w:t>
      </w:r>
      <w:r w:rsidR="00943FE5">
        <w:t>, but I’m in the processing of adding them</w:t>
      </w:r>
      <w:r w:rsidR="00E4109F">
        <w:t>.</w:t>
      </w:r>
    </w:p>
    <w:p w:rsidR="00407F8D" w:rsidRPr="008E5225" w:rsidRDefault="00407F8D" w:rsidP="0009558C">
      <w:pPr>
        <w:pStyle w:val="NoSpacing"/>
      </w:pPr>
    </w:p>
    <w:p w:rsidR="0009558C" w:rsidRPr="00107A6B" w:rsidRDefault="004120AE" w:rsidP="0009558C">
      <w:pPr>
        <w:pStyle w:val="NoSpacing"/>
        <w:rPr>
          <w:b/>
        </w:rPr>
      </w:pPr>
      <w:r w:rsidRPr="00107A6B">
        <w:rPr>
          <w:b/>
        </w:rPr>
        <w:t>Design of the keys:</w:t>
      </w:r>
    </w:p>
    <w:p w:rsidR="004120AE" w:rsidRDefault="004120AE" w:rsidP="0009558C">
      <w:pPr>
        <w:pStyle w:val="NoSpacing"/>
      </w:pPr>
      <w:r>
        <w:t xml:space="preserve">Most couplets include more than one option, and these options are separated </w:t>
      </w:r>
      <w:r w:rsidRPr="00943FE5">
        <w:rPr>
          <w:u w:val="single"/>
        </w:rPr>
        <w:t>usually</w:t>
      </w:r>
      <w:r>
        <w:t xml:space="preserve"> by semicolons (;) - </w:t>
      </w:r>
      <w:r w:rsidRPr="008E5225">
        <w:rPr>
          <w:u w:val="single"/>
        </w:rPr>
        <w:t>usually</w:t>
      </w:r>
      <w:r>
        <w:t xml:space="preserve"> only one option </w:t>
      </w:r>
      <w:r w:rsidR="00236812">
        <w:t xml:space="preserve">needs to be </w:t>
      </w:r>
      <w:r>
        <w:t xml:space="preserve">confirmed </w:t>
      </w:r>
      <w:r w:rsidR="00107A6B">
        <w:t>in order to move to the next couplet</w:t>
      </w:r>
      <w:r w:rsidR="00236812">
        <w:t xml:space="preserve"> (see example below)</w:t>
      </w:r>
      <w:r w:rsidR="00F74907">
        <w:t>, but not all of the keys are so constructed</w:t>
      </w:r>
      <w:r w:rsidR="00AE0A23">
        <w:t>.</w:t>
      </w:r>
      <w:r w:rsidR="00107A6B">
        <w:t xml:space="preserve"> </w:t>
      </w:r>
      <w:r w:rsidR="00407F8D">
        <w:t>For example:</w:t>
      </w:r>
    </w:p>
    <w:p w:rsidR="00F74907" w:rsidRDefault="00F74907" w:rsidP="00F74907">
      <w:pPr>
        <w:ind w:left="720" w:hanging="720"/>
      </w:pPr>
      <w:proofErr w:type="spellStart"/>
      <w:r w:rsidRPr="00F74907">
        <w:rPr>
          <w:i/>
        </w:rPr>
        <w:t>Hylaeus</w:t>
      </w:r>
      <w:proofErr w:type="spellEnd"/>
      <w:r>
        <w:t xml:space="preserve"> females: </w:t>
      </w:r>
    </w:p>
    <w:p w:rsidR="00F74907" w:rsidRDefault="00F74907" w:rsidP="00F74907">
      <w:pPr>
        <w:ind w:left="720" w:hanging="720"/>
      </w:pPr>
      <w:r w:rsidRPr="00F74907">
        <w:t xml:space="preserve">          </w:t>
      </w:r>
      <w:r w:rsidR="00B02EBD">
        <w:t>1.</w:t>
      </w:r>
      <w:r w:rsidRPr="00F74907">
        <w:t xml:space="preserve"> </w:t>
      </w:r>
      <w:proofErr w:type="spellStart"/>
      <w:r>
        <w:t>Oma</w:t>
      </w:r>
      <w:r w:rsidR="00C476F3">
        <w:t>u</w:t>
      </w:r>
      <w:r>
        <w:t>lus</w:t>
      </w:r>
      <w:proofErr w:type="spellEnd"/>
      <w:r>
        <w:t xml:space="preserve"> </w:t>
      </w:r>
      <w:proofErr w:type="spellStart"/>
      <w:r>
        <w:t>carinate</w:t>
      </w:r>
      <w:proofErr w:type="spellEnd"/>
      <w:r>
        <w:t>; malar space 1/3 to ½ as long as broad; clypeal punctures well-</w:t>
      </w:r>
      <w:r w:rsidR="00B02EBD">
        <w:t xml:space="preserve">  </w:t>
      </w:r>
      <w:r>
        <w:t>defined……………………………………………………………………</w:t>
      </w:r>
      <w:proofErr w:type="gramStart"/>
      <w:r>
        <w:t>…..</w:t>
      </w:r>
      <w:proofErr w:type="gramEnd"/>
      <w:r>
        <w:t>……….2</w:t>
      </w:r>
    </w:p>
    <w:p w:rsidR="00F74907" w:rsidRDefault="00F74907" w:rsidP="00F74907">
      <w:pPr>
        <w:ind w:left="720" w:hanging="720"/>
      </w:pPr>
      <w:r>
        <w:tab/>
      </w:r>
      <w:r w:rsidR="00B02EBD">
        <w:t xml:space="preserve"> </w:t>
      </w:r>
      <w:proofErr w:type="spellStart"/>
      <w:r>
        <w:t>Oma</w:t>
      </w:r>
      <w:r w:rsidR="00C476F3">
        <w:t>u</w:t>
      </w:r>
      <w:r>
        <w:t>lus</w:t>
      </w:r>
      <w:proofErr w:type="spellEnd"/>
      <w:r>
        <w:t xml:space="preserve"> rounded; malar space shorter, at most 1/5 as long as broad, or absent; clypeal punctures usually obscure or indistinct…………………………………</w:t>
      </w:r>
      <w:proofErr w:type="gramStart"/>
      <w:r>
        <w:t>…..</w:t>
      </w:r>
      <w:proofErr w:type="gramEnd"/>
      <w:r>
        <w:t>…………3</w:t>
      </w:r>
    </w:p>
    <w:p w:rsidR="00107A6B" w:rsidRDefault="00F74907" w:rsidP="0009558C">
      <w:pPr>
        <w:pStyle w:val="NoSpacing"/>
      </w:pPr>
      <w:r w:rsidRPr="00F74907">
        <w:rPr>
          <w:u w:val="single"/>
        </w:rPr>
        <w:t>Only one</w:t>
      </w:r>
      <w:r>
        <w:t xml:space="preserve"> of these six options needs to be confirmed in o</w:t>
      </w:r>
      <w:r w:rsidR="000C3A6F">
        <w:t xml:space="preserve">rder to move to couplet 2 or 3; multiple </w:t>
      </w:r>
      <w:r w:rsidR="00236812">
        <w:t xml:space="preserve">options </w:t>
      </w:r>
      <w:r>
        <w:t xml:space="preserve">are included because not all specimens have all features </w:t>
      </w:r>
      <w:r w:rsidR="00943FE5">
        <w:t>readily</w:t>
      </w:r>
      <w:r>
        <w:t xml:space="preserve"> visible.</w:t>
      </w:r>
      <w:r w:rsidR="00B02EBD">
        <w:t xml:space="preserve">  </w:t>
      </w:r>
      <w:r w:rsidR="00B02EBD" w:rsidRPr="00943FE5">
        <w:rPr>
          <w:u w:val="single"/>
        </w:rPr>
        <w:t>Usually</w:t>
      </w:r>
      <w:r w:rsidR="00B02EBD">
        <w:t xml:space="preserve"> the lead option (in the case above, </w:t>
      </w:r>
      <w:proofErr w:type="spellStart"/>
      <w:r w:rsidR="00B02EBD">
        <w:t>oma</w:t>
      </w:r>
      <w:r w:rsidR="00C476F3">
        <w:t>u</w:t>
      </w:r>
      <w:r w:rsidR="00B02EBD">
        <w:t>lus</w:t>
      </w:r>
      <w:proofErr w:type="spellEnd"/>
      <w:r w:rsidR="00B02EBD">
        <w:t xml:space="preserve"> </w:t>
      </w:r>
      <w:proofErr w:type="spellStart"/>
      <w:r w:rsidR="00B02EBD">
        <w:t>carinate</w:t>
      </w:r>
      <w:proofErr w:type="spellEnd"/>
      <w:r w:rsidR="00B02EBD">
        <w:t xml:space="preserve"> or rounded) </w:t>
      </w:r>
      <w:r w:rsidR="00216116">
        <w:t xml:space="preserve">includes the character state that </w:t>
      </w:r>
      <w:r w:rsidR="00E457FF">
        <w:t xml:space="preserve">is </w:t>
      </w:r>
      <w:r w:rsidR="00216116">
        <w:t>the</w:t>
      </w:r>
      <w:r w:rsidR="00B02EBD">
        <w:t xml:space="preserve"> </w:t>
      </w:r>
      <w:r w:rsidR="00216116">
        <w:t>least likely to cause confusion</w:t>
      </w:r>
      <w:r w:rsidR="00943FE5">
        <w:t>,</w:t>
      </w:r>
      <w:r w:rsidR="00216116">
        <w:t xml:space="preserve"> and </w:t>
      </w:r>
      <w:r w:rsidR="00E457FF">
        <w:t>is</w:t>
      </w:r>
      <w:r w:rsidR="00216116">
        <w:t xml:space="preserve"> usually the </w:t>
      </w:r>
      <w:r w:rsidR="00B02EBD">
        <w:t xml:space="preserve">most reliable, but may not always be the easiest to see. </w:t>
      </w:r>
    </w:p>
    <w:p w:rsidR="00F74907" w:rsidRDefault="00F74907" w:rsidP="0009558C">
      <w:pPr>
        <w:pStyle w:val="NoSpacing"/>
      </w:pPr>
    </w:p>
    <w:p w:rsidR="0009558C" w:rsidRPr="00294D9E" w:rsidRDefault="00294D9E" w:rsidP="0009558C">
      <w:pPr>
        <w:pStyle w:val="NoSpacing"/>
        <w:rPr>
          <w:b/>
        </w:rPr>
      </w:pPr>
      <w:r w:rsidRPr="00294D9E">
        <w:rPr>
          <w:b/>
        </w:rPr>
        <w:t>Abbreviations</w:t>
      </w:r>
      <w:r w:rsidR="00F74907">
        <w:rPr>
          <w:b/>
        </w:rPr>
        <w:t xml:space="preserve"> used in the keys</w:t>
      </w:r>
      <w:r w:rsidRPr="00294D9E">
        <w:rPr>
          <w:b/>
        </w:rPr>
        <w:t>:</w:t>
      </w:r>
      <w:r>
        <w:rPr>
          <w:b/>
        </w:rPr>
        <w:tab/>
      </w:r>
      <w:r>
        <w:rPr>
          <w:b/>
        </w:rPr>
        <w:tab/>
        <w:t>other terms</w:t>
      </w:r>
      <w:r w:rsidR="00F74907">
        <w:rPr>
          <w:b/>
        </w:rPr>
        <w:t xml:space="preserve"> used in the keys</w:t>
      </w:r>
      <w:r>
        <w:rPr>
          <w:b/>
        </w:rPr>
        <w:t>:</w:t>
      </w:r>
    </w:p>
    <w:p w:rsidR="0009558C" w:rsidRDefault="00294D9E" w:rsidP="0009558C">
      <w:pPr>
        <w:pStyle w:val="NoSpacing"/>
      </w:pPr>
      <w:r>
        <w:t xml:space="preserve">F = flagellar </w:t>
      </w:r>
      <w:proofErr w:type="gramStart"/>
      <w:r>
        <w:t>segment ,</w:t>
      </w:r>
      <w:proofErr w:type="gramEnd"/>
      <w:r>
        <w:t xml:space="preserve"> i.e., F1, F2, etc.</w:t>
      </w:r>
      <w:r>
        <w:tab/>
      </w:r>
      <w:proofErr w:type="spellStart"/>
      <w:r>
        <w:t>scutum</w:t>
      </w:r>
      <w:proofErr w:type="spellEnd"/>
      <w:r>
        <w:t xml:space="preserve"> = </w:t>
      </w:r>
      <w:proofErr w:type="spellStart"/>
      <w:r>
        <w:t>mesonotum</w:t>
      </w:r>
      <w:proofErr w:type="spellEnd"/>
    </w:p>
    <w:p w:rsidR="0009558C" w:rsidRDefault="00294D9E" w:rsidP="0009558C">
      <w:pPr>
        <w:pStyle w:val="NoSpacing"/>
      </w:pPr>
      <w:r>
        <w:t xml:space="preserve">T = </w:t>
      </w:r>
      <w:proofErr w:type="spellStart"/>
      <w:r>
        <w:t>tergite</w:t>
      </w:r>
      <w:proofErr w:type="spellEnd"/>
      <w:r>
        <w:tab/>
      </w:r>
      <w:r>
        <w:tab/>
      </w:r>
      <w:r>
        <w:tab/>
      </w:r>
      <w:r>
        <w:tab/>
        <w:t xml:space="preserve">pleura = </w:t>
      </w:r>
      <w:proofErr w:type="spellStart"/>
      <w:r>
        <w:t>mesopleura</w:t>
      </w:r>
      <w:proofErr w:type="spellEnd"/>
    </w:p>
    <w:p w:rsidR="00294D9E" w:rsidRPr="00216116" w:rsidRDefault="00294D9E" w:rsidP="0009558C">
      <w:pPr>
        <w:pStyle w:val="NoSpacing"/>
      </w:pPr>
      <w:r>
        <w:t xml:space="preserve">S </w:t>
      </w:r>
      <w:r w:rsidR="00236812">
        <w:t xml:space="preserve">(rarely ST) </w:t>
      </w:r>
      <w:r>
        <w:t xml:space="preserve">= </w:t>
      </w:r>
      <w:proofErr w:type="spellStart"/>
      <w:r>
        <w:t>sternite</w:t>
      </w:r>
      <w:proofErr w:type="spellEnd"/>
      <w:r>
        <w:tab/>
      </w:r>
      <w:r>
        <w:tab/>
      </w:r>
      <w:r>
        <w:tab/>
      </w:r>
      <w:r w:rsidRPr="00216116">
        <w:rPr>
          <w:sz w:val="20"/>
          <w:szCs w:val="20"/>
        </w:rPr>
        <w:t>propodeal triangle =</w:t>
      </w:r>
      <w:r w:rsidR="00407F8D" w:rsidRPr="00216116">
        <w:rPr>
          <w:sz w:val="20"/>
          <w:szCs w:val="20"/>
        </w:rPr>
        <w:t xml:space="preserve"> dorsal enclosure of propodeum </w:t>
      </w:r>
      <w:r w:rsidR="00134088">
        <w:t xml:space="preserve"> </w:t>
      </w:r>
    </w:p>
    <w:p w:rsidR="00294D9E" w:rsidRDefault="00294D9E" w:rsidP="0009558C">
      <w:pPr>
        <w:pStyle w:val="NoSpacing"/>
      </w:pPr>
      <w:r>
        <w:t xml:space="preserve">DV = </w:t>
      </w:r>
      <w:proofErr w:type="spellStart"/>
      <w:r>
        <w:t>dorso</w:t>
      </w:r>
      <w:proofErr w:type="spellEnd"/>
      <w:r>
        <w:t>-ventral</w:t>
      </w:r>
      <w:r w:rsidR="00407F8D">
        <w:t xml:space="preserve">             </w:t>
      </w:r>
      <w:r w:rsidR="00134088">
        <w:t xml:space="preserve">                                                         </w:t>
      </w:r>
      <w:r w:rsidR="00134088">
        <w:rPr>
          <w:sz w:val="20"/>
          <w:szCs w:val="20"/>
        </w:rPr>
        <w:t>=</w:t>
      </w:r>
      <w:proofErr w:type="spellStart"/>
      <w:proofErr w:type="gramStart"/>
      <w:r w:rsidR="00134088">
        <w:rPr>
          <w:sz w:val="20"/>
          <w:szCs w:val="20"/>
        </w:rPr>
        <w:t>metapostnotum</w:t>
      </w:r>
      <w:proofErr w:type="spellEnd"/>
      <w:r w:rsidR="00134088">
        <w:t xml:space="preserve"> </w:t>
      </w:r>
      <w:r w:rsidR="00407F8D">
        <w:t xml:space="preserve"> </w:t>
      </w:r>
      <w:r w:rsidR="00134088" w:rsidRPr="00134088">
        <w:rPr>
          <w:i/>
          <w:sz w:val="20"/>
          <w:szCs w:val="20"/>
        </w:rPr>
        <w:t>in</w:t>
      </w:r>
      <w:proofErr w:type="gramEnd"/>
      <w:r w:rsidR="00134088" w:rsidRPr="00134088">
        <w:rPr>
          <w:i/>
          <w:sz w:val="20"/>
          <w:szCs w:val="20"/>
        </w:rPr>
        <w:t xml:space="preserve"> part</w:t>
      </w:r>
      <w:r w:rsidR="00407F8D" w:rsidRPr="00134088">
        <w:rPr>
          <w:sz w:val="20"/>
          <w:szCs w:val="20"/>
        </w:rPr>
        <w:t xml:space="preserve"> </w:t>
      </w:r>
      <w:r w:rsidR="00407F8D">
        <w:t xml:space="preserve">                                                                           </w:t>
      </w:r>
    </w:p>
    <w:p w:rsidR="0009558C" w:rsidRPr="00134088" w:rsidRDefault="00294D9E" w:rsidP="0009558C">
      <w:pPr>
        <w:pStyle w:val="NoSpacing"/>
        <w:rPr>
          <w:sz w:val="20"/>
          <w:szCs w:val="20"/>
        </w:rPr>
      </w:pPr>
      <w:r>
        <w:t xml:space="preserve">DL = </w:t>
      </w:r>
      <w:proofErr w:type="spellStart"/>
      <w:r>
        <w:t>dorso</w:t>
      </w:r>
      <w:proofErr w:type="spellEnd"/>
      <w:r>
        <w:t>-lateral</w:t>
      </w:r>
      <w:r w:rsidR="00134088">
        <w:t xml:space="preserve">                                                                        </w:t>
      </w:r>
      <w:r w:rsidR="00134088">
        <w:rPr>
          <w:sz w:val="20"/>
          <w:szCs w:val="20"/>
        </w:rPr>
        <w:t>=dorsal triangle</w:t>
      </w:r>
    </w:p>
    <w:p w:rsidR="0009558C" w:rsidRDefault="00294D9E" w:rsidP="0009558C">
      <w:pPr>
        <w:pStyle w:val="NoSpacing"/>
      </w:pPr>
      <w:r>
        <w:t xml:space="preserve">SM = </w:t>
      </w:r>
      <w:proofErr w:type="spellStart"/>
      <w:r>
        <w:t>submarginal</w:t>
      </w:r>
      <w:proofErr w:type="spellEnd"/>
    </w:p>
    <w:p w:rsidR="0009558C" w:rsidRDefault="0009558C" w:rsidP="0009558C">
      <w:pPr>
        <w:pStyle w:val="NoSpacing"/>
      </w:pPr>
    </w:p>
    <w:p w:rsidR="0037257B" w:rsidRDefault="0037257B" w:rsidP="0009558C">
      <w:pPr>
        <w:pStyle w:val="NoSpacing"/>
      </w:pPr>
    </w:p>
    <w:p w:rsidR="0037257B" w:rsidRPr="0037257B" w:rsidRDefault="0037257B" w:rsidP="0009558C">
      <w:pPr>
        <w:pStyle w:val="NoSpacing"/>
        <w:rPr>
          <w:b/>
          <w:sz w:val="32"/>
          <w:szCs w:val="32"/>
        </w:rPr>
      </w:pPr>
      <w:r w:rsidRPr="0037257B">
        <w:rPr>
          <w:b/>
          <w:sz w:val="32"/>
          <w:szCs w:val="32"/>
        </w:rPr>
        <w:t>Comments/suggestions/corrections/questions welcomed</w:t>
      </w:r>
      <w:r w:rsidR="00943FE5">
        <w:rPr>
          <w:b/>
          <w:sz w:val="32"/>
          <w:szCs w:val="32"/>
        </w:rPr>
        <w:t>!</w:t>
      </w:r>
      <w:r w:rsidRPr="0037257B">
        <w:rPr>
          <w:b/>
          <w:sz w:val="32"/>
          <w:szCs w:val="32"/>
        </w:rPr>
        <w:t xml:space="preserve"> </w:t>
      </w:r>
    </w:p>
    <w:p w:rsidR="0037257B" w:rsidRPr="0037257B" w:rsidRDefault="0037257B" w:rsidP="0009558C">
      <w:pPr>
        <w:pStyle w:val="NoSpacing"/>
        <w:rPr>
          <w:b/>
          <w:sz w:val="32"/>
          <w:szCs w:val="32"/>
        </w:rPr>
      </w:pPr>
    </w:p>
    <w:p w:rsidR="0009558C" w:rsidRPr="0037257B" w:rsidRDefault="0037257B" w:rsidP="0009558C">
      <w:pPr>
        <w:pStyle w:val="NoSpacing"/>
        <w:rPr>
          <w:b/>
          <w:sz w:val="32"/>
          <w:szCs w:val="32"/>
        </w:rPr>
      </w:pPr>
      <w:r w:rsidRPr="0037257B">
        <w:rPr>
          <w:b/>
          <w:sz w:val="32"/>
          <w:szCs w:val="32"/>
        </w:rPr>
        <w:t>PLEASE SEND ANY FEEDBACK TO arduser.michael@gmail.com</w:t>
      </w:r>
    </w:p>
    <w:p w:rsidR="0037257B" w:rsidRDefault="0037257B" w:rsidP="0009558C">
      <w:pPr>
        <w:pStyle w:val="NoSpacing"/>
      </w:pPr>
    </w:p>
    <w:p w:rsidR="0037257B" w:rsidRDefault="0037257B" w:rsidP="0009558C">
      <w:pPr>
        <w:pStyle w:val="NoSpacing"/>
      </w:pPr>
    </w:p>
    <w:p w:rsidR="0009558C" w:rsidRDefault="00883F0A" w:rsidP="0009558C">
      <w:pPr>
        <w:pStyle w:val="NoSpacing"/>
      </w:pPr>
      <w:r>
        <w:t>End</w:t>
      </w:r>
      <w:r w:rsidR="0098498A">
        <w:t xml:space="preserve"> </w:t>
      </w:r>
      <w:r w:rsidR="005D32B3">
        <w:t>6</w:t>
      </w:r>
      <w:r>
        <w:t>/</w:t>
      </w:r>
      <w:r w:rsidR="005D32B3">
        <w:t>1</w:t>
      </w:r>
      <w:r>
        <w:t>/2</w:t>
      </w:r>
      <w:r w:rsidR="00943FE5">
        <w:t>4</w:t>
      </w:r>
    </w:p>
    <w:sectPr w:rsidR="000955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58C"/>
    <w:rsid w:val="0008198C"/>
    <w:rsid w:val="0009558C"/>
    <w:rsid w:val="000A3BAF"/>
    <w:rsid w:val="000C3A6F"/>
    <w:rsid w:val="000C649C"/>
    <w:rsid w:val="00107A6B"/>
    <w:rsid w:val="00134088"/>
    <w:rsid w:val="001D4B2E"/>
    <w:rsid w:val="00216116"/>
    <w:rsid w:val="00236812"/>
    <w:rsid w:val="00257275"/>
    <w:rsid w:val="00294D9E"/>
    <w:rsid w:val="0031481E"/>
    <w:rsid w:val="0032105C"/>
    <w:rsid w:val="0037257B"/>
    <w:rsid w:val="00407F8D"/>
    <w:rsid w:val="004120AE"/>
    <w:rsid w:val="004327C6"/>
    <w:rsid w:val="004540D4"/>
    <w:rsid w:val="004B7B0D"/>
    <w:rsid w:val="00553FF7"/>
    <w:rsid w:val="005D32B3"/>
    <w:rsid w:val="00601D11"/>
    <w:rsid w:val="006E5A5F"/>
    <w:rsid w:val="00795BB2"/>
    <w:rsid w:val="007C2CA5"/>
    <w:rsid w:val="007D142E"/>
    <w:rsid w:val="007F1E63"/>
    <w:rsid w:val="008158ED"/>
    <w:rsid w:val="00821949"/>
    <w:rsid w:val="00873EB1"/>
    <w:rsid w:val="00883F0A"/>
    <w:rsid w:val="008E5225"/>
    <w:rsid w:val="0090220D"/>
    <w:rsid w:val="00902B02"/>
    <w:rsid w:val="00930B3A"/>
    <w:rsid w:val="00943FE5"/>
    <w:rsid w:val="0098498A"/>
    <w:rsid w:val="00A0579D"/>
    <w:rsid w:val="00A94494"/>
    <w:rsid w:val="00AE0A23"/>
    <w:rsid w:val="00B02EBD"/>
    <w:rsid w:val="00B21E82"/>
    <w:rsid w:val="00BA2F5F"/>
    <w:rsid w:val="00C1452F"/>
    <w:rsid w:val="00C36ADD"/>
    <w:rsid w:val="00C476F3"/>
    <w:rsid w:val="00C96C78"/>
    <w:rsid w:val="00D0587E"/>
    <w:rsid w:val="00D75007"/>
    <w:rsid w:val="00E05042"/>
    <w:rsid w:val="00E17BB2"/>
    <w:rsid w:val="00E4109F"/>
    <w:rsid w:val="00E457FF"/>
    <w:rsid w:val="00E60D11"/>
    <w:rsid w:val="00F749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F2B21"/>
  <w15:chartTrackingRefBased/>
  <w15:docId w15:val="{2F808E0B-C314-43EF-B178-CC7036C57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7490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9558C"/>
    <w:pPr>
      <w:spacing w:after="0" w:line="240" w:lineRule="auto"/>
    </w:pPr>
  </w:style>
  <w:style w:type="paragraph" w:styleId="BalloonText">
    <w:name w:val="Balloon Text"/>
    <w:basedOn w:val="Normal"/>
    <w:link w:val="BalloonTextChar"/>
    <w:uiPriority w:val="99"/>
    <w:semiHidden/>
    <w:unhideWhenUsed/>
    <w:rsid w:val="00873EB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3EB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EDE9A2-501D-4E88-9B63-34845DC86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2</Pages>
  <Words>768</Words>
  <Characters>4383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dc:creator>
  <cp:keywords/>
  <dc:description/>
  <cp:lastModifiedBy>Mike</cp:lastModifiedBy>
  <cp:revision>48</cp:revision>
  <cp:lastPrinted>2024-06-04T13:12:00Z</cp:lastPrinted>
  <dcterms:created xsi:type="dcterms:W3CDTF">2018-12-01T21:44:00Z</dcterms:created>
  <dcterms:modified xsi:type="dcterms:W3CDTF">2024-06-05T01:12:00Z</dcterms:modified>
</cp:coreProperties>
</file>